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4B1598">
        <w:rPr>
          <w:sz w:val="24"/>
          <w:szCs w:val="24"/>
        </w:rPr>
        <w:t>………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6B4B52" w:rsidRPr="005D5F45" w:rsidRDefault="006B4B52" w:rsidP="006B4B52">
      <w:pPr>
        <w:jc w:val="center"/>
        <w:rPr>
          <w:b/>
          <w:sz w:val="24"/>
        </w:rPr>
      </w:pPr>
      <w:r w:rsidRPr="0034357C">
        <w:rPr>
          <w:b/>
          <w:sz w:val="24"/>
        </w:rPr>
        <w:t xml:space="preserve">Oprava </w:t>
      </w:r>
      <w:r>
        <w:rPr>
          <w:b/>
          <w:sz w:val="24"/>
        </w:rPr>
        <w:t>rozvaděčů,</w:t>
      </w:r>
      <w:r w:rsidRPr="001245C0">
        <w:rPr>
          <w:b/>
          <w:sz w:val="24"/>
        </w:rPr>
        <w:t xml:space="preserve"> sklad ČEPRO, a.s., </w:t>
      </w:r>
      <w:r>
        <w:rPr>
          <w:b/>
          <w:sz w:val="24"/>
        </w:rPr>
        <w:t>Nové Město u Kolína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724 366 176</w:t>
            </w:r>
          </w:p>
        </w:tc>
        <w:tc>
          <w:tcPr>
            <w:tcW w:w="2303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</w:tc>
        <w:tc>
          <w:tcPr>
            <w:tcW w:w="2303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  <w:p w:rsid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  <w:p w:rsidR="00CF57E9" w:rsidRPr="00726482" w:rsidRDefault="00CF57E9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Milan Nesvorný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  <w:p w:rsid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</w:t>
            </w:r>
            <w:r w:rsidR="00CF57E9">
              <w:rPr>
                <w:sz w:val="16"/>
                <w:szCs w:val="16"/>
              </w:rPr>
              <w:t> </w:t>
            </w:r>
            <w:r w:rsidRPr="00726482">
              <w:rPr>
                <w:sz w:val="16"/>
                <w:szCs w:val="16"/>
              </w:rPr>
              <w:t>692</w:t>
            </w:r>
          </w:p>
          <w:p w:rsidR="00CF57E9" w:rsidRPr="00726482" w:rsidRDefault="00CF57E9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604 220 158</w:t>
            </w:r>
          </w:p>
        </w:tc>
        <w:tc>
          <w:tcPr>
            <w:tcW w:w="2303" w:type="dxa"/>
            <w:vAlign w:val="center"/>
          </w:tcPr>
          <w:p w:rsidR="00726482" w:rsidRPr="00726482" w:rsidRDefault="00DF4AB2" w:rsidP="006326EE">
            <w:pPr>
              <w:jc w:val="left"/>
              <w:rPr>
                <w:sz w:val="16"/>
                <w:szCs w:val="16"/>
              </w:rPr>
            </w:pPr>
            <w:hyperlink r:id="rId9" w:history="1">
              <w:r w:rsidR="00726482" w:rsidRPr="00726482">
                <w:rPr>
                  <w:rStyle w:val="Hypertextovodkaz"/>
                  <w:sz w:val="16"/>
                  <w:szCs w:val="16"/>
                </w:rPr>
                <w:t>jaroslav.kupka@ceproas.cz</w:t>
              </w:r>
            </w:hyperlink>
          </w:p>
          <w:p w:rsidR="00726482" w:rsidRDefault="00DF4AB2" w:rsidP="006326EE">
            <w:pPr>
              <w:jc w:val="left"/>
              <w:rPr>
                <w:sz w:val="16"/>
                <w:szCs w:val="16"/>
              </w:rPr>
            </w:pPr>
            <w:hyperlink r:id="rId10" w:history="1">
              <w:r w:rsidR="00CF57E9" w:rsidRPr="00EB1166">
                <w:rPr>
                  <w:rStyle w:val="Hypertextovodkaz"/>
                  <w:sz w:val="16"/>
                  <w:szCs w:val="16"/>
                </w:rPr>
                <w:t>sylva.sediva@ceproas.cz</w:t>
              </w:r>
            </w:hyperlink>
          </w:p>
          <w:p w:rsidR="00CF57E9" w:rsidRPr="00726482" w:rsidRDefault="00CF57E9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milan.nesvorny@ceproas.cz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Pavel Hýsek</w:t>
            </w:r>
          </w:p>
          <w:p w:rsidR="00726482" w:rsidRPr="00726482" w:rsidRDefault="00CF57E9" w:rsidP="006326EE">
            <w:pPr>
              <w:jc w:val="lef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Ing.Tomáš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Netolický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724 643 510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726482" w:rsidRPr="00726482" w:rsidRDefault="00DF4AB2" w:rsidP="006326EE">
            <w:pPr>
              <w:jc w:val="left"/>
              <w:rPr>
                <w:sz w:val="16"/>
                <w:szCs w:val="16"/>
              </w:rPr>
            </w:pPr>
            <w:hyperlink r:id="rId11" w:history="1">
              <w:r w:rsidR="00726482" w:rsidRPr="00726482">
                <w:rPr>
                  <w:rStyle w:val="Hypertextovodkaz"/>
                  <w:sz w:val="16"/>
                  <w:szCs w:val="16"/>
                </w:rPr>
                <w:t>pavel.hysek@ceproas.cz</w:t>
              </w:r>
            </w:hyperlink>
          </w:p>
          <w:p w:rsidR="00726482" w:rsidRPr="00726482" w:rsidRDefault="00CF57E9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tomas.netolicky</w:t>
            </w:r>
            <w:r w:rsidR="00726482" w:rsidRPr="00726482">
              <w:rPr>
                <w:sz w:val="16"/>
                <w:szCs w:val="16"/>
              </w:rPr>
              <w:t>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497954">
        <w:t>…………</w:t>
      </w:r>
      <w:proofErr w:type="gramStart"/>
      <w:r w:rsidR="00497954">
        <w:t>…..</w:t>
      </w:r>
      <w:r>
        <w:t>, oddíl</w:t>
      </w:r>
      <w:proofErr w:type="gramEnd"/>
      <w:r>
        <w:t xml:space="preserve"> </w:t>
      </w:r>
      <w:r w:rsidR="00497954">
        <w:t>…</w:t>
      </w:r>
      <w:r w:rsidR="00E01835">
        <w:t>,</w:t>
      </w:r>
      <w:r>
        <w:t xml:space="preserve"> vložka </w:t>
      </w:r>
      <w:r w:rsidR="00497954">
        <w:t>…..</w:t>
      </w:r>
      <w:r>
        <w:t>.</w:t>
      </w:r>
    </w:p>
    <w:p w:rsidR="00E01835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C61" w:rsidRDefault="006A3DED" w:rsidP="00C30C61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E31FE2">
      <w:pPr>
        <w:pStyle w:val="Odstavec2"/>
      </w:pPr>
      <w:r w:rsidRPr="00176B5F">
        <w:t>Předmětem této Smlouvy je realizace díla „</w:t>
      </w:r>
      <w:r w:rsidR="00E31FE2" w:rsidRPr="00E31FE2">
        <w:t>Oprava rozvaděčů, sklad Č</w:t>
      </w:r>
      <w:r w:rsidR="00E31FE2">
        <w:t>EPRO, a.s., Nové Město u Kolína</w:t>
      </w:r>
      <w:r w:rsidRPr="00176B5F">
        <w:t xml:space="preserve">“, které zahrnuje zejména vypracování technologického postupu, </w:t>
      </w:r>
      <w:r w:rsidR="00176B5F" w:rsidRPr="00176B5F">
        <w:t xml:space="preserve">výměnu </w:t>
      </w:r>
      <w:r w:rsidR="00377927">
        <w:t>5 ks rozvaděčových polí z celkového počtu 26 ks rozvaděčových polí v </w:t>
      </w:r>
      <w:proofErr w:type="spellStart"/>
      <w:r w:rsidR="00377927">
        <w:t>obj</w:t>
      </w:r>
      <w:proofErr w:type="spellEnd"/>
      <w:r w:rsidR="00377927">
        <w:t xml:space="preserve">. 202 (podzemní rozvodna bloku PHL) a 7 ks rozvaděčových polí z celkového počtu 11 ks rozvaděčových polí v </w:t>
      </w:r>
      <w:proofErr w:type="spellStart"/>
      <w:r w:rsidR="00377927">
        <w:t>obj</w:t>
      </w:r>
      <w:proofErr w:type="spellEnd"/>
      <w:r w:rsidR="00377927">
        <w:t>. 070 (rozvodna administrativní budovy)</w:t>
      </w:r>
      <w:r w:rsidR="00176B5F" w:rsidRPr="00176B5F">
        <w:t xml:space="preserve">, </w:t>
      </w:r>
      <w:r w:rsidRPr="00176B5F">
        <w:t xml:space="preserve">vypracování dokumentace skutečného provedení, </w:t>
      </w:r>
      <w:r w:rsidR="00176B5F" w:rsidRPr="00176B5F">
        <w:t xml:space="preserve">vyzkoušení díla a </w:t>
      </w:r>
      <w:r w:rsidR="00304C2B">
        <w:t>jeho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  <w:r w:rsidR="00EF5683">
        <w:t xml:space="preserve"> Dílo bude pro</w:t>
      </w:r>
      <w:r w:rsidR="006A4841">
        <w:t xml:space="preserve">váděno po částech dle objektu, na kterém bude prováděno (první část – </w:t>
      </w:r>
      <w:proofErr w:type="spellStart"/>
      <w:r w:rsidR="006A4841">
        <w:t>obj</w:t>
      </w:r>
      <w:proofErr w:type="spellEnd"/>
      <w:r w:rsidR="006A4841">
        <w:t xml:space="preserve">. č. 202, druhá část – </w:t>
      </w:r>
      <w:proofErr w:type="spellStart"/>
      <w:r w:rsidR="006A4841">
        <w:t>obj</w:t>
      </w:r>
      <w:proofErr w:type="spellEnd"/>
      <w:r w:rsidR="006A4841">
        <w:t>. č. 070).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91574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DF4AB2">
        <w:t>15.1.2015</w:t>
      </w:r>
      <w:bookmarkStart w:id="0" w:name="_GoBack"/>
      <w:bookmarkEnd w:id="0"/>
      <w:r>
        <w:t xml:space="preserve"> k zakázce č.</w:t>
      </w:r>
      <w:r w:rsidR="00075F35">
        <w:t xml:space="preserve"> 00</w:t>
      </w:r>
      <w:r w:rsidR="00E241DA">
        <w:t>8</w:t>
      </w:r>
      <w:r w:rsidR="00075F35">
        <w:t>/1</w:t>
      </w:r>
      <w:r w:rsidR="00A91574">
        <w:t>5</w:t>
      </w:r>
      <w:r w:rsidR="00075F35">
        <w:t>/OCN</w:t>
      </w:r>
      <w:r>
        <w:t>, nazvané „</w:t>
      </w:r>
      <w:r w:rsidR="00E241DA" w:rsidRPr="00E31FE2">
        <w:t>Oprava rozvaděčů, sklad Č</w:t>
      </w:r>
      <w:r w:rsidR="00E241DA">
        <w:t>EPRO, a.s., Nové Město u Kolína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A91574">
        <w:t>…………</w:t>
      </w:r>
      <w:proofErr w:type="gramStart"/>
      <w:r w:rsidR="00A91574">
        <w:t>….</w:t>
      </w:r>
      <w:r>
        <w:t>ze</w:t>
      </w:r>
      <w:proofErr w:type="gramEnd"/>
      <w:r>
        <w:t xml:space="preserve"> dne </w:t>
      </w:r>
      <w:r w:rsidR="00A91574">
        <w:t>………………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907033" w:rsidRPr="00B9564E" w:rsidRDefault="00907033" w:rsidP="00907033">
      <w:pPr>
        <w:pStyle w:val="Odstavec3"/>
        <w:numPr>
          <w:ilvl w:val="0"/>
          <w:numId w:val="0"/>
        </w:numPr>
        <w:ind w:left="1134"/>
        <w:rPr>
          <w:rFonts w:cs="Arial"/>
          <w:color w:val="000000"/>
        </w:rPr>
      </w:pPr>
    </w:p>
    <w:p w:rsidR="009401C2" w:rsidRDefault="009401C2" w:rsidP="009401C2">
      <w:pPr>
        <w:pStyle w:val="Odstavec2"/>
      </w:pPr>
      <w:r>
        <w:lastRenderedPageBreak/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9401C2" w:rsidRDefault="009401C2" w:rsidP="009401C2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 a rovněž seznam techniky a vozidel, jež bude Zhotovitel užívat a pro něž Objednatel zajistí povolení pro vstup a vjezd na Staveniště do areálu skladu pohonných hmot.</w:t>
      </w:r>
    </w:p>
    <w:p w:rsidR="00F035DA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362AD8">
        <w:t>S</w:t>
      </w:r>
      <w:r w:rsidRPr="00DD57F1">
        <w:t>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F611C5">
      <w:pPr>
        <w:pStyle w:val="Odstavec2"/>
      </w:pPr>
      <w:r w:rsidRPr="007F3FC6">
        <w:t xml:space="preserve">Místem plnění je: </w:t>
      </w:r>
      <w:r w:rsidR="00F611C5" w:rsidRPr="00F611C5">
        <w:t>ČEPRO, a.s., sklad Nové Město u Kolína, PSČ 282 00</w:t>
      </w:r>
      <w:r w:rsidR="00F611C5">
        <w:t xml:space="preserve">, objekt </w:t>
      </w:r>
      <w:r w:rsidR="00F035DA">
        <w:t xml:space="preserve">č. </w:t>
      </w:r>
      <w:r w:rsidR="00F611C5">
        <w:t xml:space="preserve">070 a </w:t>
      </w:r>
      <w:r w:rsidR="00F035DA">
        <w:t xml:space="preserve">č. </w:t>
      </w:r>
      <w:r w:rsidR="00F611C5">
        <w:t>202</w:t>
      </w:r>
      <w:r w:rsidR="00F611C5" w:rsidRPr="00F611C5">
        <w:t xml:space="preserve"> 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Default="00F035DA" w:rsidP="007F3FC6">
      <w:pPr>
        <w:pStyle w:val="Odstavec2"/>
        <w:numPr>
          <w:ilvl w:val="0"/>
          <w:numId w:val="0"/>
        </w:numPr>
        <w:ind w:left="567"/>
      </w:pPr>
      <w:r>
        <w:t xml:space="preserve">Dílo bude prováděno po částech v souladu s Harmonogramem plnění vypracovaným Zhotovitelem a schváleným ze strany Objednatele, přičemž Dílo bude zahájeno </w:t>
      </w:r>
      <w:r w:rsidR="00362AD8">
        <w:t xml:space="preserve">v průběhu měsíce </w:t>
      </w:r>
      <w:r w:rsidR="009811FB">
        <w:t xml:space="preserve">května </w:t>
      </w:r>
      <w:r w:rsidR="00362AD8">
        <w:t>roku 201</w:t>
      </w:r>
      <w:r w:rsidR="009811FB">
        <w:t>5</w:t>
      </w:r>
      <w:r w:rsidR="00362AD8">
        <w:t xml:space="preserve"> v den stanovený ve výzvě </w:t>
      </w:r>
      <w:r>
        <w:t>¨k předání Staveniště týkající se části Díla u objektu č. 070, Staveniště k části Díla týkající se objektu č. 202 bude předáno Objednatelem Zhotoviteli v den stanovený ve výzvě k předání Staveniště v průběhu měsíce června 2015.</w:t>
      </w:r>
    </w:p>
    <w:p w:rsidR="00F035DA" w:rsidRDefault="00F035DA" w:rsidP="007F3FC6">
      <w:pPr>
        <w:pStyle w:val="Odstavec2"/>
        <w:numPr>
          <w:ilvl w:val="0"/>
          <w:numId w:val="0"/>
        </w:numPr>
        <w:ind w:left="567"/>
      </w:pPr>
      <w:r>
        <w:t>Smluvní strany předpokládají, že každá část Díla bude dokončena od jejího zahájení do 90 dnů, konkrétní termíny a lhůty budou dle dohody stran stanoveny a Objednatelem schváleny</w:t>
      </w:r>
      <w:r w:rsidR="007A7708">
        <w:t>, příp. jednotlivé změny termínů a lhůt obdobným způsobem upraveny (tj. Zhotovitelem vypracovány a Objednatelem schváleny)</w:t>
      </w:r>
      <w:r>
        <w:t xml:space="preserve"> v Harmonogramu plnění s ohledem na obchodní priority a provoz dotčeného skladu pohonných hmot Objednatele.</w:t>
      </w:r>
    </w:p>
    <w:p w:rsidR="00F035DA" w:rsidRDefault="00F035DA" w:rsidP="007F3FC6">
      <w:pPr>
        <w:pStyle w:val="Odstavec2"/>
        <w:numPr>
          <w:ilvl w:val="0"/>
          <w:numId w:val="0"/>
        </w:numPr>
        <w:ind w:left="567"/>
      </w:pPr>
      <w:r>
        <w:t>Dokončení Díla a jeho předání Objednateli musí být provedeno nejpozději k datu 11. 12. 2015.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9401C2">
        <w:t>po částech</w:t>
      </w:r>
      <w:r w:rsidR="00EA3690" w:rsidRPr="00EA3690">
        <w:t>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lastRenderedPageBreak/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2E16FB" w:rsidRPr="00521FE0" w:rsidRDefault="002E16FB" w:rsidP="00EA3690">
      <w:pPr>
        <w:pStyle w:val="Odstavec3"/>
        <w:numPr>
          <w:ilvl w:val="0"/>
          <w:numId w:val="0"/>
        </w:numPr>
        <w:ind w:left="2160"/>
        <w:rPr>
          <w:highlight w:val="yellow"/>
        </w:rPr>
      </w:pP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</w:t>
      </w:r>
      <w:r w:rsidR="009401C2">
        <w:t xml:space="preserve"> termínu </w:t>
      </w:r>
      <w:r w:rsidRPr="00EA3690">
        <w:t>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9811FB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</w:t>
      </w:r>
      <w:r w:rsidR="005C5D01" w:rsidRPr="009D3FC3">
        <w:rPr>
          <w:b/>
        </w:rPr>
        <w:t xml:space="preserve">,- Kč </w:t>
      </w:r>
      <w:r w:rsidR="00F26914" w:rsidRPr="00F26914">
        <w:t>(slovy:</w:t>
      </w:r>
      <w:r>
        <w:t xml:space="preserve"> …………………………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9401C2" w:rsidRPr="006042EA" w:rsidRDefault="009401C2" w:rsidP="009401C2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9401C2" w:rsidRDefault="009401C2" w:rsidP="009401C2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proofErr w:type="gramStart"/>
      <w:r w:rsidRPr="00E33C6F">
        <w:t xml:space="preserve">hrazena  </w:t>
      </w:r>
      <w:r w:rsidR="002B7124">
        <w:t>po</w:t>
      </w:r>
      <w:proofErr w:type="gramEnd"/>
      <w:r w:rsidR="002B7124">
        <w:t xml:space="preserve"> částech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</w:t>
      </w:r>
      <w:r w:rsidR="002B7124">
        <w:t xml:space="preserve">vždy </w:t>
      </w:r>
      <w:r w:rsidRPr="00E33C6F">
        <w:t xml:space="preserve">po předání a převzetí </w:t>
      </w:r>
      <w:r w:rsidR="002B7124">
        <w:t xml:space="preserve">části </w:t>
      </w:r>
      <w:r w:rsidRPr="00E33C6F">
        <w:t xml:space="preserve">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B03BEC">
        <w:t>…………………….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2" w:history="1">
        <w:r w:rsidRPr="006A6C32">
          <w:rPr>
            <w:rStyle w:val="Hypertextovodkaz"/>
            <w:u w:val="none"/>
          </w:rPr>
          <w:t>cepro_DF@ceproas.cz</w:t>
        </w:r>
      </w:hyperlink>
      <w:r w:rsidRPr="006A6C3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DC444D" w:rsidRDefault="00DC444D" w:rsidP="00DC444D">
      <w:pPr>
        <w:pStyle w:val="Odstavec2"/>
        <w:numPr>
          <w:ilvl w:val="0"/>
          <w:numId w:val="0"/>
        </w:numPr>
        <w:ind w:left="567"/>
      </w:pPr>
      <w:r>
        <w:t>Na faktuře bude uvedeno číslo objednávky 45000</w:t>
      </w:r>
      <w:r w:rsidR="00B03BEC">
        <w:t>…………</w:t>
      </w:r>
      <w:proofErr w:type="gramStart"/>
      <w:r w:rsidR="00B03BEC">
        <w:t>….</w:t>
      </w:r>
      <w:r>
        <w:t>.</w:t>
      </w:r>
      <w:proofErr w:type="gramEnd"/>
      <w:r>
        <w:t xml:space="preserve"> 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2B7124" w:rsidP="00E322F9">
      <w:pPr>
        <w:pStyle w:val="Odstavec2"/>
      </w:pPr>
      <w:r>
        <w:t>Smluvní strany se dohodly, že p</w:t>
      </w:r>
      <w:r w:rsidR="00AE3CC7" w:rsidRPr="00AE3CC7">
        <w:t>ředání</w:t>
      </w:r>
      <w:r w:rsidR="00AE3CC7">
        <w:t xml:space="preserve"> a převzetí Díla se uskuteční </w:t>
      </w:r>
      <w:r w:rsidR="00E322F9" w:rsidRPr="00A657FF">
        <w:t>po</w:t>
      </w:r>
      <w:r>
        <w:t xml:space="preserve"> částech, vždy po</w:t>
      </w:r>
      <w:r w:rsidR="00E322F9" w:rsidRPr="00A657FF">
        <w:t xml:space="preserve"> řádném dokončení </w:t>
      </w:r>
      <w:r>
        <w:t xml:space="preserve">dotčené části </w:t>
      </w:r>
      <w:r w:rsidR="00E322F9" w:rsidRPr="00A657FF">
        <w:t>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lastRenderedPageBreak/>
        <w:t xml:space="preserve">návod k použití, k obsluze a údržbě s ohledem na bezpečnost práce </w:t>
      </w:r>
    </w:p>
    <w:p w:rsidR="00A657FF" w:rsidRDefault="00165A25" w:rsidP="00A657FF">
      <w:pPr>
        <w:pStyle w:val="Odstavec3"/>
      </w:pPr>
      <w:r>
        <w:t>dílčí revizní zpráv</w:t>
      </w:r>
      <w:r w:rsidR="00FD7774">
        <w:t>a</w:t>
      </w:r>
      <w:r>
        <w:t xml:space="preserve"> elektroinstalace po provedené opravě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B5118B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="00351A23">
        <w:t>/části Díla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351A23">
        <w:t>.</w:t>
      </w:r>
    </w:p>
    <w:p w:rsidR="00216448" w:rsidRPr="009730B5" w:rsidRDefault="00216448" w:rsidP="00464CFF">
      <w:pPr>
        <w:pStyle w:val="Odstavec2"/>
      </w:pPr>
      <w:r w:rsidRPr="00216448">
        <w:t xml:space="preserve">Zhotovitel přijímá písemné reklamace vad na poštovní adrese: </w:t>
      </w:r>
      <w:r w:rsidR="007D3A2B">
        <w:t>………………………</w:t>
      </w:r>
      <w:proofErr w:type="gramStart"/>
      <w:r w:rsidR="007D3A2B">
        <w:t>…..</w:t>
      </w:r>
      <w:r w:rsidRPr="00216448">
        <w:t>nebo</w:t>
      </w:r>
      <w:proofErr w:type="gramEnd"/>
      <w:r w:rsidRPr="00216448">
        <w:t xml:space="preserve"> na e-mailové adrese:</w:t>
      </w:r>
      <w:r w:rsidR="007D3A2B">
        <w:t>……………………………..</w:t>
      </w:r>
      <w:r w:rsidRPr="00216448">
        <w:t xml:space="preserve">, na které přijímá nahlášení vad v pracovní dny v pracovní době </w:t>
      </w:r>
      <w:r w:rsidRPr="009730B5">
        <w:t xml:space="preserve">od </w:t>
      </w:r>
      <w:r w:rsidR="007D3A2B">
        <w:t>………..</w:t>
      </w:r>
      <w:r w:rsidRPr="009730B5">
        <w:t xml:space="preserve"> do </w:t>
      </w:r>
      <w:r w:rsidR="007D3A2B">
        <w:t>……………</w:t>
      </w:r>
      <w:r w:rsidRPr="009730B5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351A23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061E6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061E6" w:rsidRPr="00655C3C" w:rsidRDefault="00A061E6" w:rsidP="00A061E6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E13DE" w:rsidRDefault="00CE13DE" w:rsidP="00CE13DE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CC0F8E"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3" w:history="1">
        <w:r w:rsidRPr="00CD4EC2">
          <w:rPr>
            <w:rStyle w:val="Hypertextovodkaz"/>
          </w:rPr>
          <w:t>https://www.ceproas.cz/eticky-kodex</w:t>
        </w:r>
      </w:hyperlink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CE13DE" w:rsidRPr="00621C7C" w:rsidRDefault="00CE13DE" w:rsidP="00CE13DE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</w:t>
      </w:r>
      <w:r w:rsidRPr="00BC323C">
        <w:lastRenderedPageBreak/>
        <w:t xml:space="preserve">specifikované a uveřejněné na adrese </w:t>
      </w:r>
      <w:hyperlink r:id="rId14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655C3C" w:rsidRDefault="0021315A" w:rsidP="008F257B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0B789B" w:rsidRDefault="000B789B" w:rsidP="000B789B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B789B" w:rsidRDefault="000B789B" w:rsidP="000B789B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B789B" w:rsidRDefault="000B789B" w:rsidP="000B789B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B789B" w:rsidRPr="002E0183" w:rsidRDefault="000B789B" w:rsidP="000B789B">
      <w:pPr>
        <w:pStyle w:val="Odstavec2"/>
      </w:pPr>
      <w:r>
        <w:t>Tato Smlouva není převoditelná rubopisem.</w:t>
      </w:r>
    </w:p>
    <w:p w:rsidR="000B789B" w:rsidRPr="002E0183" w:rsidRDefault="000B789B" w:rsidP="000B789B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B789B" w:rsidRPr="002E0183" w:rsidRDefault="000B789B" w:rsidP="000B789B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B789B" w:rsidRDefault="000B789B" w:rsidP="000B789B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B72976" w:rsidRDefault="00B72976" w:rsidP="00B72976">
      <w:pPr>
        <w:pStyle w:val="lnek"/>
        <w:numPr>
          <w:ilvl w:val="0"/>
          <w:numId w:val="0"/>
        </w:numPr>
        <w:ind w:left="18"/>
        <w:jc w:val="both"/>
      </w:pPr>
    </w:p>
    <w:p w:rsidR="00B72976" w:rsidRDefault="00B72976" w:rsidP="00B72976"/>
    <w:p w:rsidR="00B72976" w:rsidRDefault="00B72976" w:rsidP="00B72976"/>
    <w:p w:rsidR="00B72976" w:rsidRPr="00B72976" w:rsidRDefault="00B72976" w:rsidP="00B72976"/>
    <w:p w:rsidR="000B789B" w:rsidRDefault="000B789B" w:rsidP="000B789B">
      <w:pPr>
        <w:pStyle w:val="Odstavec3"/>
      </w:pPr>
      <w:r>
        <w:lastRenderedPageBreak/>
        <w:t xml:space="preserve">VOP jsou uveřejněna na adrese </w:t>
      </w:r>
      <w:hyperlink r:id="rId15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</w:p>
    <w:p w:rsidR="0021315A" w:rsidRDefault="0018446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  <w:t>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F0254B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sectPr w:rsidR="00F0254B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52F" w:rsidRDefault="0010652F">
      <w:r>
        <w:separator/>
      </w:r>
    </w:p>
  </w:endnote>
  <w:endnote w:type="continuationSeparator" w:id="0">
    <w:p w:rsidR="0010652F" w:rsidRDefault="0010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11C18" wp14:editId="74BFA63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DF4AB2">
      <w:rPr>
        <w:rStyle w:val="slostrnky"/>
        <w:noProof/>
      </w:rPr>
      <w:t>8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DF4AB2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52F" w:rsidRDefault="0010652F">
      <w:r>
        <w:separator/>
      </w:r>
    </w:p>
  </w:footnote>
  <w:footnote w:type="continuationSeparator" w:id="0">
    <w:p w:rsidR="0010652F" w:rsidRDefault="00106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34484"/>
    <w:rsid w:val="00053493"/>
    <w:rsid w:val="00065A83"/>
    <w:rsid w:val="0007144A"/>
    <w:rsid w:val="00075F35"/>
    <w:rsid w:val="000A28F2"/>
    <w:rsid w:val="000B789B"/>
    <w:rsid w:val="000C04EF"/>
    <w:rsid w:val="000D19D8"/>
    <w:rsid w:val="000E16A0"/>
    <w:rsid w:val="000E447C"/>
    <w:rsid w:val="000F2F08"/>
    <w:rsid w:val="000F557C"/>
    <w:rsid w:val="0010652F"/>
    <w:rsid w:val="00122684"/>
    <w:rsid w:val="001265C5"/>
    <w:rsid w:val="00151225"/>
    <w:rsid w:val="001651CE"/>
    <w:rsid w:val="00165A25"/>
    <w:rsid w:val="00176B5F"/>
    <w:rsid w:val="00184468"/>
    <w:rsid w:val="001B5C0B"/>
    <w:rsid w:val="001E406E"/>
    <w:rsid w:val="00204984"/>
    <w:rsid w:val="00207437"/>
    <w:rsid w:val="0021315A"/>
    <w:rsid w:val="00216448"/>
    <w:rsid w:val="00216BD0"/>
    <w:rsid w:val="00225234"/>
    <w:rsid w:val="00245CA9"/>
    <w:rsid w:val="002525FB"/>
    <w:rsid w:val="00260A80"/>
    <w:rsid w:val="00280022"/>
    <w:rsid w:val="00283D22"/>
    <w:rsid w:val="00297090"/>
    <w:rsid w:val="002B57CE"/>
    <w:rsid w:val="002B7124"/>
    <w:rsid w:val="002C108B"/>
    <w:rsid w:val="002E07B4"/>
    <w:rsid w:val="002E16FB"/>
    <w:rsid w:val="002F1B3A"/>
    <w:rsid w:val="002F6183"/>
    <w:rsid w:val="00304C2B"/>
    <w:rsid w:val="00316F94"/>
    <w:rsid w:val="0031724E"/>
    <w:rsid w:val="00351A23"/>
    <w:rsid w:val="00353CCB"/>
    <w:rsid w:val="00361B1A"/>
    <w:rsid w:val="00362AD8"/>
    <w:rsid w:val="00363594"/>
    <w:rsid w:val="00377927"/>
    <w:rsid w:val="00383195"/>
    <w:rsid w:val="00384DDC"/>
    <w:rsid w:val="003A74EE"/>
    <w:rsid w:val="003B595E"/>
    <w:rsid w:val="003C6E40"/>
    <w:rsid w:val="003D6507"/>
    <w:rsid w:val="003E74EF"/>
    <w:rsid w:val="003F629A"/>
    <w:rsid w:val="00407CE0"/>
    <w:rsid w:val="00412E2D"/>
    <w:rsid w:val="00423DC0"/>
    <w:rsid w:val="00435D9F"/>
    <w:rsid w:val="00464CFF"/>
    <w:rsid w:val="0047263C"/>
    <w:rsid w:val="0048481F"/>
    <w:rsid w:val="00492F27"/>
    <w:rsid w:val="00494CA6"/>
    <w:rsid w:val="00496072"/>
    <w:rsid w:val="00497954"/>
    <w:rsid w:val="004B1598"/>
    <w:rsid w:val="004F5000"/>
    <w:rsid w:val="00521903"/>
    <w:rsid w:val="00521FE0"/>
    <w:rsid w:val="00524F35"/>
    <w:rsid w:val="005555DE"/>
    <w:rsid w:val="00562929"/>
    <w:rsid w:val="00567199"/>
    <w:rsid w:val="00581196"/>
    <w:rsid w:val="005A3A1A"/>
    <w:rsid w:val="005C5D01"/>
    <w:rsid w:val="005D1C50"/>
    <w:rsid w:val="006000DB"/>
    <w:rsid w:val="00620E8F"/>
    <w:rsid w:val="00635D66"/>
    <w:rsid w:val="00650BD2"/>
    <w:rsid w:val="00651742"/>
    <w:rsid w:val="00655C3C"/>
    <w:rsid w:val="00661FDA"/>
    <w:rsid w:val="00677D18"/>
    <w:rsid w:val="006833FC"/>
    <w:rsid w:val="006857A4"/>
    <w:rsid w:val="0068756C"/>
    <w:rsid w:val="006925D4"/>
    <w:rsid w:val="006A3DED"/>
    <w:rsid w:val="006A4841"/>
    <w:rsid w:val="006A6C32"/>
    <w:rsid w:val="006B4B52"/>
    <w:rsid w:val="006E1876"/>
    <w:rsid w:val="006E1D56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A7708"/>
    <w:rsid w:val="007B0C02"/>
    <w:rsid w:val="007B1761"/>
    <w:rsid w:val="007B36A0"/>
    <w:rsid w:val="007D3A2B"/>
    <w:rsid w:val="007F3FC6"/>
    <w:rsid w:val="00810395"/>
    <w:rsid w:val="00847822"/>
    <w:rsid w:val="008A5C94"/>
    <w:rsid w:val="008D1996"/>
    <w:rsid w:val="008E1CB9"/>
    <w:rsid w:val="008F257B"/>
    <w:rsid w:val="008F48B5"/>
    <w:rsid w:val="00907033"/>
    <w:rsid w:val="0093362E"/>
    <w:rsid w:val="009401C2"/>
    <w:rsid w:val="009413F1"/>
    <w:rsid w:val="00954C35"/>
    <w:rsid w:val="0097101E"/>
    <w:rsid w:val="009730B5"/>
    <w:rsid w:val="009811FB"/>
    <w:rsid w:val="00986F82"/>
    <w:rsid w:val="009A0F9B"/>
    <w:rsid w:val="009B093D"/>
    <w:rsid w:val="009C6A0D"/>
    <w:rsid w:val="009D3FC3"/>
    <w:rsid w:val="009D6EF6"/>
    <w:rsid w:val="00A061E6"/>
    <w:rsid w:val="00A2045C"/>
    <w:rsid w:val="00A30B5F"/>
    <w:rsid w:val="00A657FF"/>
    <w:rsid w:val="00A91574"/>
    <w:rsid w:val="00AC0F27"/>
    <w:rsid w:val="00AE3CC7"/>
    <w:rsid w:val="00AF68B0"/>
    <w:rsid w:val="00B013E2"/>
    <w:rsid w:val="00B03BEC"/>
    <w:rsid w:val="00B05A0F"/>
    <w:rsid w:val="00B20BE0"/>
    <w:rsid w:val="00B35620"/>
    <w:rsid w:val="00B46F2F"/>
    <w:rsid w:val="00B5118B"/>
    <w:rsid w:val="00B54C39"/>
    <w:rsid w:val="00B72976"/>
    <w:rsid w:val="00B9564E"/>
    <w:rsid w:val="00B96459"/>
    <w:rsid w:val="00BA556D"/>
    <w:rsid w:val="00BA59A8"/>
    <w:rsid w:val="00BB57AC"/>
    <w:rsid w:val="00BC5234"/>
    <w:rsid w:val="00BE18A9"/>
    <w:rsid w:val="00BE2E82"/>
    <w:rsid w:val="00C25681"/>
    <w:rsid w:val="00C278BE"/>
    <w:rsid w:val="00C30C61"/>
    <w:rsid w:val="00C30D59"/>
    <w:rsid w:val="00C43689"/>
    <w:rsid w:val="00C962BE"/>
    <w:rsid w:val="00CC0F8E"/>
    <w:rsid w:val="00CD1BFE"/>
    <w:rsid w:val="00CD2448"/>
    <w:rsid w:val="00CD5335"/>
    <w:rsid w:val="00CE13DE"/>
    <w:rsid w:val="00CF57E9"/>
    <w:rsid w:val="00D018E8"/>
    <w:rsid w:val="00D02E43"/>
    <w:rsid w:val="00D16993"/>
    <w:rsid w:val="00D17CE0"/>
    <w:rsid w:val="00D17EC0"/>
    <w:rsid w:val="00D600AD"/>
    <w:rsid w:val="00D6100C"/>
    <w:rsid w:val="00D61D40"/>
    <w:rsid w:val="00D75A61"/>
    <w:rsid w:val="00DC444D"/>
    <w:rsid w:val="00DD57F1"/>
    <w:rsid w:val="00DD6392"/>
    <w:rsid w:val="00DD6CED"/>
    <w:rsid w:val="00DF384A"/>
    <w:rsid w:val="00DF4AB2"/>
    <w:rsid w:val="00E00091"/>
    <w:rsid w:val="00E01835"/>
    <w:rsid w:val="00E1794D"/>
    <w:rsid w:val="00E241DA"/>
    <w:rsid w:val="00E25DA9"/>
    <w:rsid w:val="00E26075"/>
    <w:rsid w:val="00E31FE2"/>
    <w:rsid w:val="00E322F9"/>
    <w:rsid w:val="00E33C6F"/>
    <w:rsid w:val="00E35EEE"/>
    <w:rsid w:val="00E44CD0"/>
    <w:rsid w:val="00E66BD1"/>
    <w:rsid w:val="00E66C0B"/>
    <w:rsid w:val="00E849D8"/>
    <w:rsid w:val="00E852B7"/>
    <w:rsid w:val="00E86D82"/>
    <w:rsid w:val="00E879AA"/>
    <w:rsid w:val="00E9330E"/>
    <w:rsid w:val="00EA0733"/>
    <w:rsid w:val="00EA3690"/>
    <w:rsid w:val="00EC0C53"/>
    <w:rsid w:val="00EC614C"/>
    <w:rsid w:val="00EE7142"/>
    <w:rsid w:val="00EF5683"/>
    <w:rsid w:val="00EF6899"/>
    <w:rsid w:val="00F02469"/>
    <w:rsid w:val="00F0254B"/>
    <w:rsid w:val="00F035DA"/>
    <w:rsid w:val="00F11D0D"/>
    <w:rsid w:val="00F217C5"/>
    <w:rsid w:val="00F21CC7"/>
    <w:rsid w:val="00F21D61"/>
    <w:rsid w:val="00F26914"/>
    <w:rsid w:val="00F27CC1"/>
    <w:rsid w:val="00F60799"/>
    <w:rsid w:val="00F611C5"/>
    <w:rsid w:val="00F954BD"/>
    <w:rsid w:val="00F96627"/>
    <w:rsid w:val="00FA635E"/>
    <w:rsid w:val="00FC188C"/>
    <w:rsid w:val="00FD47C2"/>
    <w:rsid w:val="00FD7774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avel.hysek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sylva.sediva@ceproa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aroslav.kupka@ceproas.cz" TargetMode="External"/><Relationship Id="rId14" Type="http://schemas.openxmlformats.org/officeDocument/2006/relationships/hyperlink" Target="https://www.ceproas.cz/vyberova-rizen&#23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408</TotalTime>
  <Pages>8</Pages>
  <Words>3114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13</cp:revision>
  <cp:lastPrinted>2014-03-03T13:38:00Z</cp:lastPrinted>
  <dcterms:created xsi:type="dcterms:W3CDTF">2015-01-12T09:17:00Z</dcterms:created>
  <dcterms:modified xsi:type="dcterms:W3CDTF">2015-01-15T06:09:00Z</dcterms:modified>
</cp:coreProperties>
</file>